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-465442</wp:posOffset>
            </wp:positionH>
            <wp:positionV relativeFrom="paragraph">
              <wp:posOffset>-624829</wp:posOffset>
            </wp:positionV>
            <wp:extent cx="7559040" cy="2312035"/>
            <wp:effectExtent b="0" l="0" r="0" t="0"/>
            <wp:wrapTopAndBottom distB="0" dist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21/10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7.22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7.59pm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Jean-Christophe, Ran, Mathilde, William, Shinjo, Eurgain, Hideaki, Katerina, Unnr,Kaitorix, Skiotr, Mathias, Arabella, Rosalind (left 7:55pm), Kinggiyadai, Caristiona, Stigh.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Medb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Katerina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1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officers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Face to face return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by email: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Rowany - $46,533.06</w:t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Festival - $33,207.25</w:t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FAT - $8.125.00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Handover completed and thanks to Skiotr for a very smooth handover!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Radburne War refunds have been processed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Stowe quarterly not yet received, but will be!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missive as of yet due to mundane commitments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 to see things opening up in Rowany and around Lochac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and congratulations to Katerina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Park: they are not yet opened up, but will be opening from 11 November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Discussion around possible final Dence Park for 2021 for 14th November or start afresh in 2022 - decision to be made by A&amp;S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Carpet - setting up a working group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Candidate has come forward, process will be underway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on the Heraldic front this month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Q&amp;A occurred which was great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(Clara)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Nothing to report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new on this front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Things are continuing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Informal Christmas party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Awaiting an invoice for semester 1 - JC to action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 nights have been progressing online, but are sparsely attended so far - some regulars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1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Crown Events Deputy seeking expressions of interest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1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Lochac Seneschal survey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1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Yule is looking good to continue given the general circumstances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Lato" w:cs="Lato" w:eastAsia="Lato" w:hAnsi="Lato"/>
          <w:b w:val="1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Taking money after bookings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Lato" w:cs="Lato" w:eastAsia="Lato" w:hAnsi="Lato"/>
          <w:b w:val="1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Won’t have Crown but have visiting Excellencies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Lato" w:cs="Lato" w:eastAsia="Lato" w:hAnsi="Lato"/>
          <w:b w:val="1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Archery at Yule - JC to get Yule Stewarding Team, Gregor and Skiotr in contact.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2eTfMVrMnN3/UWf8k1P8bi84ew==">AMUW2mXXD2c6hU/WTlQFUg2nMPk1sMbG5Ti+9jbHcVPFdZ0sgMf+Lz0ULBREP+CoSkrxyovWECHHVqQV+rSktCulBBSoBxt5XN3fB36hafq5TdVQ2pN+8km+98ZQNubeLEp7PmxEcyEh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