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-465419</wp:posOffset>
            </wp:positionH>
            <wp:positionV relativeFrom="paragraph">
              <wp:posOffset>-624811</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16/05/2024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7:06</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8:36</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w:t>
            </w:r>
            <w:r w:rsidDel="00000000" w:rsidR="00000000" w:rsidRPr="00000000">
              <w:rPr>
                <w:rFonts w:ascii="Lato" w:cs="Lato" w:eastAsia="Lato" w:hAnsi="Lato"/>
                <w:color w:val="000000"/>
                <w:sz w:val="28"/>
                <w:szCs w:val="28"/>
                <w:rtl w:val="0"/>
              </w:rPr>
              <w:t xml:space="preserve"> Elena, Elwald, </w:t>
            </w:r>
            <w:r w:rsidDel="00000000" w:rsidR="00000000" w:rsidRPr="00000000">
              <w:rPr>
                <w:rFonts w:ascii="Lato" w:cs="Lato" w:eastAsia="Lato" w:hAnsi="Lato"/>
                <w:sz w:val="28"/>
                <w:szCs w:val="28"/>
                <w:rtl w:val="0"/>
              </w:rPr>
              <w:t xml:space="preserve">Stigh, Kaitorix, Jude, Ibn Jelal and Juliana, Amy, Ameline</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Fonts w:ascii="Lato" w:cs="Lato" w:eastAsia="Lato" w:hAnsi="Lato"/>
                <w:sz w:val="28"/>
                <w:szCs w:val="28"/>
                <w:rtl w:val="0"/>
              </w:rPr>
              <w:t xml:space="preserve"> Medb</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Shinjo, Helia, Skaeringr, Raegan, Hideaki (from 7.18), Fabia</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11/04/202</w:t>
            </w:r>
            <w:r w:rsidDel="00000000" w:rsidR="00000000" w:rsidRPr="00000000">
              <w:rPr>
                <w:rFonts w:ascii="Lato" w:cs="Lato" w:eastAsia="Lato" w:hAnsi="Lato"/>
                <w:sz w:val="24"/>
                <w:szCs w:val="24"/>
                <w:rtl w:val="0"/>
              </w:rPr>
              <w:t xml:space="preserve">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w:t>
            </w:r>
            <w:r w:rsidDel="00000000" w:rsidR="00000000" w:rsidRPr="00000000">
              <w:rPr>
                <w:rFonts w:ascii="Lato" w:cs="Lato" w:eastAsia="Lato" w:hAnsi="Lato"/>
                <w:sz w:val="24"/>
                <w:szCs w:val="24"/>
                <w:rtl w:val="0"/>
              </w:rPr>
              <w:t xml:space="preserve">Ameline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Ayes: </w:t>
            </w:r>
            <w:r w:rsidDel="00000000" w:rsidR="00000000" w:rsidRPr="00000000">
              <w:rPr>
                <w:rFonts w:ascii="Lato" w:cs="Lato" w:eastAsia="Lato" w:hAnsi="Lato"/>
                <w:sz w:val="24"/>
                <w:szCs w:val="24"/>
                <w:rtl w:val="0"/>
              </w:rPr>
              <w:t xml:space="preserve">6</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Abstentions:</w:t>
            </w:r>
            <w:r w:rsidDel="00000000" w:rsidR="00000000" w:rsidRPr="00000000">
              <w:rPr>
                <w:rFonts w:ascii="Lato" w:cs="Lato" w:eastAsia="Lato" w:hAnsi="Lato"/>
                <w:sz w:val="24"/>
                <w:szCs w:val="24"/>
                <w:rtl w:val="0"/>
              </w:rPr>
              <w:t xml:space="preserve">4</w:t>
              <w:br w:type="textWrapping"/>
              <w:t xml:space="preserve">Motion Passed</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Thanks everyone for Festival, but special shout out to Raegan and Jude for helping run the Baronial Campsite and Amy for running Food fund</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Officer positions Chronicler/Webwright and a few other positions opening up and will be advertised soon.</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 you for all the volunteers for Blacktown Medieval Faire - should have enough volunteers tomorrow to help set up the pavilion tomorrow. </w:t>
            </w: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2">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$26,050.74</w:t>
              <w:br w:type="textWrapping"/>
            </w:r>
            <w:r w:rsidDel="00000000" w:rsidR="00000000" w:rsidRPr="00000000">
              <w:rPr>
                <w:rFonts w:ascii="Calibri" w:cs="Calibri" w:eastAsia="Calibri" w:hAnsi="Calibri"/>
                <w:color w:val="222222"/>
                <w:sz w:val="24"/>
                <w:szCs w:val="24"/>
                <w:rtl w:val="0"/>
              </w:rPr>
              <w:t xml:space="preserve">Festival $59,296.13</w:t>
            </w:r>
          </w:p>
          <w:p w:rsidR="00000000" w:rsidDel="00000000" w:rsidP="00000000" w:rsidRDefault="00000000" w:rsidRPr="00000000" w14:paraId="00000043">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$26.829.58</w:t>
            </w:r>
          </w:p>
          <w:p w:rsidR="00000000" w:rsidDel="00000000" w:rsidP="00000000" w:rsidRDefault="00000000" w:rsidRPr="00000000" w14:paraId="00000044">
            <w:pPr>
              <w:shd w:fill="ffffff" w:val="clea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this year $7,857.00</w:t>
            </w:r>
          </w:p>
          <w:p w:rsidR="00000000" w:rsidDel="00000000" w:rsidP="00000000" w:rsidRDefault="00000000" w:rsidRPr="00000000" w14:paraId="00000046">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Ameline took us through an overview of our yearly expenses through screen sharing some excel sheets to allow attendees to familiarise themselves with some of our yearly cash flow. At the moment we’re covering all our operating costs</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Ameline is working through some reconciliations</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Looking forward to Blacktown Medieval Fair tomorrow!</w:t>
            </w:r>
          </w:p>
          <w:p w:rsidR="00000000" w:rsidDel="00000000" w:rsidP="00000000" w:rsidRDefault="00000000" w:rsidRPr="00000000" w14:paraId="000000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Largely, Festival was pretty decent, however they caught Covid and are still recovering.</w:t>
            </w:r>
          </w:p>
          <w:p w:rsidR="00000000" w:rsidDel="00000000" w:rsidP="00000000" w:rsidRDefault="00000000" w:rsidRPr="00000000" w14:paraId="000000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Juliana is attending Great Northern War over the June long weekend</w:t>
            </w:r>
          </w:p>
          <w:p w:rsidR="00000000" w:rsidDel="00000000" w:rsidP="00000000" w:rsidRDefault="00000000" w:rsidRPr="00000000" w14:paraId="0000004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Looking forward to Kinggiyadai’s proposal</w:t>
            </w: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Kaitorix</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Regular activities are continuing</w:t>
            </w:r>
          </w:p>
          <w:p w:rsidR="00000000" w:rsidDel="00000000" w:rsidP="00000000" w:rsidRDefault="00000000" w:rsidRPr="00000000" w14:paraId="0000005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Dence Park was a bit smaller due to Mother’s Day</w:t>
            </w:r>
          </w:p>
          <w:p w:rsidR="00000000" w:rsidDel="00000000" w:rsidP="00000000" w:rsidRDefault="00000000" w:rsidRPr="00000000" w14:paraId="0000005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Dance practice cancelled due to unavailability of teachers</w:t>
            </w:r>
          </w:p>
          <w:p w:rsidR="00000000" w:rsidDel="00000000" w:rsidP="00000000" w:rsidRDefault="00000000" w:rsidRPr="00000000" w14:paraId="0000005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Blacktown Medieval Fair on the weekend will be a good opportunity to showcase A&amp;S. Kaitorix will be there himself with a fibre arts display</w:t>
            </w: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At the regular fighter practice, no injuries and attendance has been reasonable</w:t>
            </w:r>
          </w:p>
          <w:p w:rsidR="00000000" w:rsidDel="00000000" w:rsidP="00000000" w:rsidRDefault="00000000" w:rsidRPr="00000000" w14:paraId="0000005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Has been doing the risk assessment with the “soft kit” and doing training with Gilbert Purchase, the Kingdom risk officer</w:t>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 Festival, there were a few injuries. Consequently Stigh will have some input regarding helm padding and specs, etc.</w:t>
            </w:r>
          </w:p>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see the rattan proposal!</w:t>
            </w: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Has been unable to attend training lately, but understands everything is going ok.</w:t>
            </w:r>
          </w:p>
          <w:p w:rsidR="00000000" w:rsidDel="00000000" w:rsidP="00000000" w:rsidRDefault="00000000" w:rsidRPr="00000000" w14:paraId="000000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Fencing at Festival went well. There were a couple of injuries but nothing major</w:t>
            </w:r>
          </w:p>
          <w:p w:rsidR="00000000" w:rsidDel="00000000" w:rsidP="00000000" w:rsidRDefault="00000000" w:rsidRPr="00000000" w14:paraId="000000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Innilgard Incursion will be soon, at Flametree Ball. Book soon!</w:t>
            </w: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Rosalind - the next shoot will be next weekend, after Flametree. Rosalind was unable to attend the last shoot due to clash with Dence Park but understood it was a wonderful day.</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 Festival, there was some organisational confusion with the target archery marshall being out of state. The Wombaroo targets are inappropriate for our usage, so need to make sure that is considered and communicated next year.</w:t>
            </w: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Sends apologies, nothing to report</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Is looking forward to Blacktown Medieval Faire! Planning on bringing loom and helping set up. Next event will be Winterfest, after the next Senate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Elena - nothing to report, but Raegan sent through the Festival Chirugeon report.</w:t>
            </w:r>
          </w:p>
          <w:p w:rsidR="00000000" w:rsidDel="00000000" w:rsidP="00000000" w:rsidRDefault="00000000" w:rsidRPr="00000000" w14:paraId="0000006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Raegan - we didn’t even have an ambulance</w:t>
            </w: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(Mathilde) </w:t>
            </w:r>
          </w:p>
        </w:tc>
      </w:tr>
      <w:tr>
        <w:trPr>
          <w:cantSplit w:val="0"/>
          <w:tblHeader w:val="0"/>
        </w:trPr>
        <w:tc>
          <w:tcPr/>
          <w:p w:rsidR="00000000" w:rsidDel="00000000" w:rsidP="00000000" w:rsidRDefault="00000000" w:rsidRPr="00000000" w14:paraId="000000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(Skarp)</w:t>
            </w:r>
          </w:p>
        </w:tc>
      </w:tr>
      <w:tr>
        <w:trPr>
          <w:cantSplit w:val="0"/>
          <w:tblHeader w:val="0"/>
        </w:trPr>
        <w:tc>
          <w:tcPr/>
          <w:p w:rsidR="00000000" w:rsidDel="00000000" w:rsidP="00000000" w:rsidRDefault="00000000" w:rsidRPr="00000000" w14:paraId="000000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Webwright/</w:t>
            </w:r>
            <w:r w:rsidDel="00000000" w:rsidR="00000000" w:rsidRPr="00000000">
              <w:rPr>
                <w:rFonts w:ascii="Calibri" w:cs="Calibri" w:eastAsia="Calibri" w:hAnsi="Calibri"/>
                <w:b w:val="1"/>
                <w:sz w:val="24"/>
                <w:szCs w:val="24"/>
                <w:rtl w:val="0"/>
              </w:rPr>
              <w:t xml:space="preserve">Chronicler</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Jude)</w:t>
            </w: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Youth Officer</w:t>
            </w:r>
            <w:r w:rsidDel="00000000" w:rsidR="00000000" w:rsidRPr="00000000">
              <w:rPr>
                <w:rFonts w:ascii="Calibri" w:cs="Calibri" w:eastAsia="Calibri" w:hAnsi="Calibri"/>
                <w:sz w:val="24"/>
                <w:szCs w:val="24"/>
                <w:rtl w:val="0"/>
              </w:rPr>
              <w:t xml:space="preserve"> (Eurgain)</w:t>
            </w:r>
          </w:p>
          <w:p w:rsidR="00000000" w:rsidDel="00000000" w:rsidP="00000000" w:rsidRDefault="00000000" w:rsidRPr="00000000" w14:paraId="0000007A">
            <w:pPr>
              <w:numPr>
                <w:ilvl w:val="0"/>
                <w:numId w:val="7"/>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7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7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Kaitorix - ICW to be held in July. It is currently the end of semester one.</w:t>
            </w:r>
            <w:r w:rsidDel="00000000" w:rsidR="00000000" w:rsidRPr="00000000">
              <w:rPr>
                <w:rtl w:val="0"/>
              </w:rPr>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8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8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Fabia’s Equipment Overhaul Project</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Fabia proposes that we undergo an equipment overhaul project, overseen by herself. Full details of this proposal can be found here: </w:t>
            </w:r>
            <w:hyperlink r:id="rId8">
              <w:r w:rsidDel="00000000" w:rsidR="00000000" w:rsidRPr="00000000">
                <w:rPr>
                  <w:color w:val="0000ee"/>
                  <w:u w:val="single"/>
                  <w:shd w:fill="auto" w:val="clear"/>
                  <w:rtl w:val="0"/>
                </w:rPr>
                <w:t xml:space="preserve">Rowany Equipment Overhaul Project</w:t>
              </w:r>
            </w:hyperlink>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Please note that as Fabia was presenting, she was unable to note down in detail what was discussed</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7">
            <w:pPr>
              <w:numPr>
                <w:ilvl w:val="0"/>
                <w:numId w:val="1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discussion regarding the best way to do certain aspects, including the inventory system</w:t>
            </w:r>
          </w:p>
          <w:p w:rsidR="00000000" w:rsidDel="00000000" w:rsidP="00000000" w:rsidRDefault="00000000" w:rsidRPr="00000000" w14:paraId="00000088">
            <w:pPr>
              <w:numPr>
                <w:ilvl w:val="0"/>
                <w:numId w:val="1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was suggested that this might be a good opportunity to look into storage pricing and a long-term lock solution.</w:t>
            </w:r>
          </w:p>
          <w:p w:rsidR="00000000" w:rsidDel="00000000" w:rsidP="00000000" w:rsidRDefault="00000000" w:rsidRPr="00000000" w14:paraId="0000008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Proposal put Forward by Fabia</w:t>
            </w:r>
          </w:p>
          <w:p w:rsidR="00000000" w:rsidDel="00000000" w:rsidP="00000000" w:rsidRDefault="00000000" w:rsidRPr="00000000" w14:paraId="0000008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Elwald</w:t>
            </w:r>
          </w:p>
          <w:p w:rsidR="00000000" w:rsidDel="00000000" w:rsidP="00000000" w:rsidRDefault="00000000" w:rsidRPr="00000000" w14:paraId="0000008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Ayes:14 </w:t>
            </w:r>
          </w:p>
          <w:p w:rsidR="00000000" w:rsidDel="00000000" w:rsidP="00000000" w:rsidRDefault="00000000" w:rsidRPr="00000000" w14:paraId="0000008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Nayes:</w:t>
            </w:r>
          </w:p>
          <w:p w:rsidR="00000000" w:rsidDel="00000000" w:rsidP="00000000" w:rsidRDefault="00000000" w:rsidRPr="00000000" w14:paraId="0000008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1</w:t>
            </w:r>
          </w:p>
          <w:p w:rsidR="00000000" w:rsidDel="00000000" w:rsidP="00000000" w:rsidRDefault="00000000" w:rsidRPr="00000000" w14:paraId="0000008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Funding Proposal: Stigh’s Baronial Rattan Acquisition Project</w:t>
            </w:r>
          </w:p>
          <w:p w:rsidR="00000000" w:rsidDel="00000000" w:rsidP="00000000" w:rsidRDefault="00000000" w:rsidRPr="00000000" w14:paraId="0000009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Stigh proposes that the Barony puts in a bulk order of rattan from the US, with the aim to on-sell to fighters in the Barony. This is to address increased difficulty in obtaining good quality rattan, and increased shipping costs. Stigh has previously bought from this supplier before (as have other groups), and then on-sold it to fighters, but required him to up-front the substantial cost.</w:t>
            </w:r>
          </w:p>
          <w:p w:rsidR="00000000" w:rsidDel="00000000" w:rsidP="00000000" w:rsidRDefault="00000000" w:rsidRPr="00000000" w14:paraId="00000094">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sum of the estimated costs for:</w:t>
            </w:r>
          </w:p>
          <w:p w:rsidR="00000000" w:rsidDel="00000000" w:rsidP="00000000" w:rsidRDefault="00000000" w:rsidRPr="00000000" w14:paraId="0000009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six-foot polearms</w:t>
              <w:br w:type="textWrapping"/>
              <w:t xml:space="preserve">30 three-foot swords</w:t>
            </w:r>
          </w:p>
          <w:p w:rsidR="00000000" w:rsidDel="00000000" w:rsidP="00000000" w:rsidRDefault="00000000" w:rsidRPr="00000000" w14:paraId="0000009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spears</w:t>
            </w:r>
          </w:p>
          <w:p w:rsidR="00000000" w:rsidDel="00000000" w:rsidP="00000000" w:rsidRDefault="00000000" w:rsidRPr="00000000" w14:paraId="0000009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$1275.00 USD</w:t>
            </w:r>
          </w:p>
          <w:p w:rsidR="00000000" w:rsidDel="00000000" w:rsidP="00000000" w:rsidRDefault="00000000" w:rsidRPr="00000000" w14:paraId="00000098">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is a forecast figure, as shipping would be based on weight and calculated upon ordering, and would be subject to exchange rates. Stigh provided an estimated conversion of $1912.50</w:t>
            </w:r>
          </w:p>
          <w:p w:rsidR="00000000" w:rsidDel="00000000" w:rsidP="00000000" w:rsidRDefault="00000000" w:rsidRPr="00000000" w14:paraId="0000009A">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Stigh proposes that the Barony covers this up-front cost, with the expectation that the rattan is sold to local fighters at a rounded-up price to recoup costs. Due to the uncertain nature of the final price, he proposes a “ceiling” cost of $2000.00 for approval, and then would report back the final price.</w:t>
            </w:r>
          </w:p>
          <w:p w:rsidR="00000000" w:rsidDel="00000000" w:rsidP="00000000" w:rsidRDefault="00000000" w:rsidRPr="00000000" w14:paraId="0000009B">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would include shipping</w:t>
            </w:r>
          </w:p>
          <w:p w:rsidR="00000000" w:rsidDel="00000000" w:rsidP="00000000" w:rsidRDefault="00000000" w:rsidRPr="00000000" w14:paraId="0000009C">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distribution, Stigh proposes that he handles storage and physical distribution, with the Constable receiving payments as “donations” to the Barony, however is not attached to this particular format.</w:t>
            </w:r>
          </w:p>
          <w:p w:rsidR="00000000" w:rsidDel="00000000" w:rsidP="00000000" w:rsidRDefault="00000000" w:rsidRPr="00000000" w14:paraId="0000009D">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we would put this as an item on square, not a donation</w:t>
            </w:r>
          </w:p>
          <w:p w:rsidR="00000000" w:rsidDel="00000000" w:rsidP="00000000" w:rsidRDefault="00000000" w:rsidRPr="00000000" w14:paraId="0000009E">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is modeled off the Adora rattan buy, but with better quality rattan.</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approve up to $2000 for this project put forward by Stigh</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Raegan</w:t>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Ayes:13</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Nayes:</w:t>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1</w:t>
            </w:r>
          </w:p>
          <w:p w:rsidR="00000000" w:rsidDel="00000000" w:rsidP="00000000" w:rsidRDefault="00000000" w:rsidRPr="00000000" w14:paraId="000000A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A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“Float”: Royal Dance Event by Kinggiyadai</w:t>
            </w:r>
          </w:p>
          <w:p w:rsidR="00000000" w:rsidDel="00000000" w:rsidP="00000000" w:rsidRDefault="00000000" w:rsidRPr="00000000" w14:paraId="000000A8">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Masked ball</w:t>
            </w:r>
          </w:p>
          <w:p w:rsidR="00000000" w:rsidDel="00000000" w:rsidP="00000000" w:rsidRDefault="00000000" w:rsidRPr="00000000" w14:paraId="000000A9">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20th of July</w:t>
            </w:r>
          </w:p>
          <w:p w:rsidR="00000000" w:rsidDel="00000000" w:rsidP="00000000" w:rsidRDefault="00000000" w:rsidRPr="00000000" w14:paraId="000000AA">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Location: Looking like a hall in Revesby, but wife (Altani) says it’s not a very nice hall, </w:t>
            </w:r>
          </w:p>
          <w:p w:rsidR="00000000" w:rsidDel="00000000" w:rsidP="00000000" w:rsidRDefault="00000000" w:rsidRPr="00000000" w14:paraId="000000AB">
            <w:pPr>
              <w:numPr>
                <w:ilvl w:val="0"/>
                <w:numId w:val="1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Eurgain or Ariston to cater</w:t>
            </w:r>
          </w:p>
          <w:p w:rsidR="00000000" w:rsidDel="00000000" w:rsidP="00000000" w:rsidRDefault="00000000" w:rsidRPr="00000000" w14:paraId="000000A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mostly a “save the date bid - Bain wanted to be kept secret from Iglesia</w:t>
            </w:r>
          </w:p>
          <w:p w:rsidR="00000000" w:rsidDel="00000000" w:rsidP="00000000" w:rsidRDefault="00000000" w:rsidRPr="00000000" w14:paraId="000000AE">
            <w:pPr>
              <w:numPr>
                <w:ilvl w:val="0"/>
                <w:numId w:val="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consisting of classes, dancing, finger food, court but no peerage meetings, no rondel competitions</w:t>
            </w:r>
          </w:p>
          <w:p w:rsidR="00000000" w:rsidDel="00000000" w:rsidP="00000000" w:rsidRDefault="00000000" w:rsidRPr="00000000" w14:paraId="000000AF">
            <w:pPr>
              <w:numPr>
                <w:ilvl w:val="1"/>
                <w:numId w:val="9"/>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Ibn Jelal and Juliana: A&amp;S Display?</w:t>
            </w:r>
          </w:p>
          <w:p w:rsidR="00000000" w:rsidDel="00000000" w:rsidP="00000000" w:rsidRDefault="00000000" w:rsidRPr="00000000" w14:paraId="000000B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detailed bid to come, but not expecting Multi day</w:t>
            </w:r>
          </w:p>
          <w:p w:rsidR="00000000" w:rsidDel="00000000" w:rsidP="00000000" w:rsidRDefault="00000000" w:rsidRPr="00000000" w14:paraId="000000B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Yule bid “float” - Shinjo </w:t>
            </w:r>
          </w:p>
          <w:p w:rsidR="00000000" w:rsidDel="00000000" w:rsidP="00000000" w:rsidRDefault="00000000" w:rsidRPr="00000000" w14:paraId="000000B4">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Date: 14th of December</w:t>
            </w:r>
          </w:p>
          <w:p w:rsidR="00000000" w:rsidDel="00000000" w:rsidP="00000000" w:rsidRDefault="00000000" w:rsidRPr="00000000" w14:paraId="000000B5">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Location: Concord Community Centre</w:t>
            </w:r>
          </w:p>
          <w:p w:rsidR="00000000" w:rsidDel="00000000" w:rsidP="00000000" w:rsidRDefault="00000000" w:rsidRPr="00000000" w14:paraId="000000B6">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Current team includes Kinggiyadai (MiC) and Hideaki (Head Cook)</w:t>
            </w:r>
          </w:p>
          <w:p w:rsidR="00000000" w:rsidDel="00000000" w:rsidP="00000000" w:rsidRDefault="00000000" w:rsidRPr="00000000" w14:paraId="000000B7">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set up from 10 am</w:t>
            </w:r>
          </w:p>
          <w:p w:rsidR="00000000" w:rsidDel="00000000" w:rsidP="00000000" w:rsidRDefault="00000000" w:rsidRPr="00000000" w14:paraId="000000B8">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tournament outside, classes inside</w:t>
            </w:r>
          </w:p>
          <w:p w:rsidR="00000000" w:rsidDel="00000000" w:rsidP="00000000" w:rsidRDefault="00000000" w:rsidRPr="00000000" w14:paraId="000000B9">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Theme: 16th venetian</w:t>
            </w:r>
          </w:p>
          <w:p w:rsidR="00000000" w:rsidDel="00000000" w:rsidP="00000000" w:rsidRDefault="00000000" w:rsidRPr="00000000" w14:paraId="000000B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Fabia: Would it be expected to be attended by Royals? Shinjo: Maybe</w:t>
            </w:r>
          </w:p>
          <w:p w:rsidR="00000000" w:rsidDel="00000000" w:rsidP="00000000" w:rsidRDefault="00000000" w:rsidRPr="00000000" w14:paraId="000000BC">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concern about space capacity of 100 for sit down as previous Yules, particularly ones with Royal attendance, have been more than 100.</w:t>
            </w:r>
          </w:p>
          <w:p w:rsidR="00000000" w:rsidDel="00000000" w:rsidP="00000000" w:rsidRDefault="00000000" w:rsidRPr="00000000" w14:paraId="000000B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Yule bid “float” - Helia </w:t>
            </w:r>
          </w:p>
          <w:p w:rsidR="00000000" w:rsidDel="00000000" w:rsidP="00000000" w:rsidRDefault="00000000" w:rsidRPr="00000000" w14:paraId="000000C0">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Date: Possibly 7th of December, but this could change</w:t>
            </w:r>
          </w:p>
          <w:p w:rsidR="00000000" w:rsidDel="00000000" w:rsidP="00000000" w:rsidRDefault="00000000" w:rsidRPr="00000000" w14:paraId="000000C1">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Location: Leichhardt Town Hall, with tourney at Pioneer Park or possibly inside</w:t>
            </w:r>
          </w:p>
          <w:p w:rsidR="00000000" w:rsidDel="00000000" w:rsidP="00000000" w:rsidRDefault="00000000" w:rsidRPr="00000000" w14:paraId="000000C2">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Team is currently being put together (a few people have offered to assist), but Fabia to help with the kitchen</w:t>
            </w:r>
          </w:p>
          <w:p w:rsidR="00000000" w:rsidDel="00000000" w:rsidP="00000000" w:rsidRDefault="00000000" w:rsidRPr="00000000" w14:paraId="000000C3">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Capacity is 220</w:t>
            </w:r>
          </w:p>
          <w:p w:rsidR="00000000" w:rsidDel="00000000" w:rsidP="00000000" w:rsidRDefault="00000000" w:rsidRPr="00000000" w14:paraId="000000C4">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Both of these proposals will be tabled next Senate </w:t>
            </w:r>
          </w:p>
          <w:p w:rsidR="00000000" w:rsidDel="00000000" w:rsidP="00000000" w:rsidRDefault="00000000" w:rsidRPr="00000000" w14:paraId="000000C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Regular Event Proposal: Skaeringr</w:t>
            </w:r>
          </w:p>
          <w:p w:rsidR="00000000" w:rsidDel="00000000" w:rsidP="00000000" w:rsidRDefault="00000000" w:rsidRPr="00000000" w14:paraId="000000C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Skaeringr proposes the creation of an additional, regular, in person event. This would perhaps be in the style of Dence Park and pre-Discord Herb Greedy events, but geared towards members of the barony living in the south-side of Sydney, who may find it difficult to attend Dence Park. In particular, this would ideally be more accessible for Collegians and serve as an opportunity to connect with them and other attendees of Fighter Practice. The proposed location is a hall in Summer Hill, Three Bridges Hall,  which is quite close to the station and shops. It also has a park nearby that could be used for fighting and has play equipment for children. The aim would be to run it once a month or once a fortnight, around Dence Park, and be a part of the Baronial quarterly-fee events.</w:t>
            </w:r>
          </w:p>
          <w:p w:rsidR="00000000" w:rsidDel="00000000" w:rsidP="00000000" w:rsidRDefault="00000000" w:rsidRPr="00000000" w14:paraId="000000C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Elwald enquired about parking and power: Skaeringr said that he assumed there is power in the hall but can officially confirm. Parkingwise, there is decent street parking, a few parks at the hall itself, and a 2-hour car park nearby.</w:t>
            </w:r>
          </w:p>
          <w:p w:rsidR="00000000" w:rsidDel="00000000" w:rsidP="00000000" w:rsidRDefault="00000000" w:rsidRPr="00000000" w14:paraId="000000CB">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enquired about the price, time and capacity: Skaeringr quoted the cost is $38 per-hour, which was contrasted with a hall in Lewisham that was $81 per-hour. The hall seating set up is with 24 people with room, which can probably stretch to 32. He also highlighted that there is outdoor space available as well. He also estimated about five hours for each session</w:t>
            </w:r>
          </w:p>
          <w:p w:rsidR="00000000" w:rsidDel="00000000" w:rsidP="00000000" w:rsidRDefault="00000000" w:rsidRPr="00000000" w14:paraId="000000CC">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Rosalind enquired about days: Skaeringr said probably Sundays, in the afternoon</w:t>
            </w:r>
          </w:p>
          <w:p w:rsidR="00000000" w:rsidDel="00000000" w:rsidP="00000000" w:rsidRDefault="00000000" w:rsidRPr="00000000" w14:paraId="000000C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numPr>
                <w:ilvl w:val="0"/>
                <w:numId w:val="1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Further discussion ensued regarding the scheduling of this event. There were concerns raised about clashing with Dence Park, Archery, and Stowe Sundays. Skaeringr highlighted that this event was possibly going to draw from a different pool of people not currently regularly attending these events. A conclusion was reached to poll the populace about the ideal timing of this event, possibly on Facebook, organised by Skaeringr.. Kaitorix raised a concern that some collegians may not be very active on Facebook, but would be very happy to liaise with Collegians to ensure they’re targeted. One scheduled, this event is intended to be reviewed after three months before confirmation as a regular Baronial event.</w:t>
            </w:r>
          </w:p>
          <w:p w:rsidR="00000000" w:rsidDel="00000000" w:rsidP="00000000" w:rsidRDefault="00000000" w:rsidRPr="00000000" w14:paraId="000000C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Rosalind - we need to sort out clashes by utilisation of the calendar -</w:t>
            </w:r>
          </w:p>
          <w:p w:rsidR="00000000" w:rsidDel="00000000" w:rsidP="00000000" w:rsidRDefault="00000000" w:rsidRPr="00000000" w14:paraId="000000D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elena - just need to be proactive by event organisors </w:t>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D4">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Following discussion of Skaeringr’s event, Rosalind highlighted that we need to sort out clashes by utilisation of the Google Calendar. Elena emphasised that event organisers need to be proactive about this to avoid future clashes.</w:t>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Katerina asked if we could get a bigger poster at Dence Park, but this is currently being addressed by Hideaki.</w:t>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tc>
      </w:tr>
      <w:tr>
        <w:trPr>
          <w:cantSplit w:val="0"/>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DLIhJmiopbYZJrcQ13Ikrt9Lg341_Q2BFQ6LR38rZQY/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GAgCCmYcZlLsZ0PHRWy5J/xZw==">CgMxLjA4AHIhMS1fUFRxdHB1eHhJYzVRN2RqLXZpRFdXSHBLNVJXQ3dk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