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19.12.24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7:08</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8:08</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Elena de Moravia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Rosalind, Hrafn, Amy, Medb, Norbert, Ameline, Ibn Jelal and Juliana, Katya, Shinjo (from 7.30ish)</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24/11/2024</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Accurate</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Elena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Amy</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Style w:val="Heading1"/>
        <w:rPr/>
      </w:pPr>
      <w:bookmarkStart w:colFirst="0" w:colLast="0" w:name="_heading=h.zgzuxbcvvabu" w:id="0"/>
      <w:bookmarkEnd w:id="0"/>
      <w:r w:rsidDel="00000000" w:rsidR="00000000" w:rsidRPr="00000000">
        <w:rPr>
          <w:rtl w:val="0"/>
        </w:rPr>
        <w:t xml:space="preserve">Officer Reports</w:t>
      </w:r>
    </w:p>
    <w:sdt>
      <w:sdtPr>
        <w:lock w:val="contentLocked"/>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b w:val="1"/>
                    <w:rtl w:val="0"/>
                  </w:rPr>
                  <w:t xml:space="preserve">Seneschal (Elena)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advertising for Newcomers 2025 stewarding team needed </w:t>
                </w:r>
              </w:p>
              <w:p w:rsidR="00000000" w:rsidDel="00000000" w:rsidP="00000000" w:rsidRDefault="00000000" w:rsidRPr="00000000" w14:paraId="0000004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Thanks for those patient with things has had life issues come in the way but good news that holidays have started so hopefully will be getting on top of things</w:t>
                </w:r>
              </w:p>
              <w:p w:rsidR="00000000" w:rsidDel="00000000" w:rsidP="00000000" w:rsidRDefault="00000000" w:rsidRPr="00000000" w14:paraId="0000005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About hall for Gumbramorra Hall at Addison Road - understand questions arose about when we use the hall and charges. Usually get a email asking for dates it’s been used - Elena has been relying on it being used regularly but has been made aware that there are incidents where it has been not used Alfar has been in contact volunteer org so delayed info sometimes but its also so discounted - if any one is concerned about it or has up to date, ACCURATE info about dates it has been not available  that would be great. For next 3 months: please email seneschal when space is impinged or completely unavailable so that way we can respond correctly and invoices can be adjusted</w:t>
                </w:r>
              </w:p>
              <w:p w:rsidR="00000000" w:rsidDel="00000000" w:rsidP="00000000" w:rsidRDefault="00000000" w:rsidRPr="00000000" w14:paraId="00000051">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Hrafn: Rather than just entire hall unavailable, constant impinging with tables - have had to use outside almost entire year fightable area at most half floor space over covid hampers program started but now it is persistent at best ⅓ hall but more often ½-⅔ so about 4 fights between two sports heavies can go outside much easier for winter but increasingly unpleasant for heavies</w:t>
                </w:r>
              </w:p>
              <w:p w:rsidR="00000000" w:rsidDel="00000000" w:rsidP="00000000" w:rsidRDefault="00000000" w:rsidRPr="00000000" w14:paraId="00000052">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Ameline: financial due diligence: about $80 per night not taking into account nights not used which is roughly hourly rate for many inner west halls most about $300 per night </w:t>
                </w:r>
              </w:p>
              <w:p w:rsidR="00000000" w:rsidDel="00000000" w:rsidP="00000000" w:rsidRDefault="00000000" w:rsidRPr="00000000" w14:paraId="00000053">
                <w:pPr>
                  <w:keepNext w:val="0"/>
                  <w:keepLines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Amy: some OH&amp;S issues with metal plates and has been in contact with public schools so rate is similar that might be worth looking into</w:t>
                </w:r>
              </w:p>
              <w:p w:rsidR="00000000" w:rsidDel="00000000" w:rsidP="00000000" w:rsidRDefault="00000000" w:rsidRPr="00000000" w14:paraId="00000054">
                <w:pPr>
                  <w:keepNext w:val="0"/>
                  <w:keepLines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Katya: Pallet jacks there for use by hamper program but we really shouldn’t be moving items either </w:t>
                </w:r>
              </w:p>
              <w:p w:rsidR="00000000" w:rsidDel="00000000" w:rsidP="00000000" w:rsidRDefault="00000000" w:rsidRPr="00000000" w14:paraId="00000055">
                <w:pPr>
                  <w:keepNext w:val="0"/>
                  <w:keepLines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Amy was looking at 1-2 basketball sizes - but need to confirm they’re ok with heavy fighting to full extent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Someone on monday to take photos of floor including trip hazards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Come back to this topic (FP venue) including Amy to pass on details about schools, and put together ideas or suggestions about location and time change etc </w:t>
                </w:r>
              </w:p>
              <w:p w:rsidR="00000000" w:rsidDel="00000000" w:rsidP="00000000" w:rsidRDefault="00000000" w:rsidRPr="00000000" w14:paraId="0000005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able and interested please email Seneschal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(Ameline)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Account balances:</w:t>
                </w:r>
              </w:p>
              <w:p w:rsidR="00000000" w:rsidDel="00000000" w:rsidP="00000000" w:rsidRDefault="00000000" w:rsidRPr="00000000" w14:paraId="0000005E">
                <w:pPr>
                  <w:spacing w:line="240" w:lineRule="auto"/>
                  <w:rPr/>
                </w:pPr>
                <w:r w:rsidDel="00000000" w:rsidR="00000000" w:rsidRPr="00000000">
                  <w:rPr>
                    <w:rtl w:val="0"/>
                  </w:rPr>
                  <w:t xml:space="preserve">Rowany $17,212.28</w:t>
                </w:r>
              </w:p>
              <w:p w:rsidR="00000000" w:rsidDel="00000000" w:rsidP="00000000" w:rsidRDefault="00000000" w:rsidRPr="00000000" w14:paraId="0000005F">
                <w:pPr>
                  <w:spacing w:line="240" w:lineRule="auto"/>
                  <w:rPr/>
                </w:pPr>
                <w:r w:rsidDel="00000000" w:rsidR="00000000" w:rsidRPr="00000000">
                  <w:rPr>
                    <w:rtl w:val="0"/>
                  </w:rPr>
                  <w:t xml:space="preserve">FAT $112,539.89</w:t>
                </w:r>
              </w:p>
              <w:p w:rsidR="00000000" w:rsidDel="00000000" w:rsidP="00000000" w:rsidRDefault="00000000" w:rsidRPr="00000000" w14:paraId="00000060">
                <w:pPr>
                  <w:spacing w:line="240" w:lineRule="auto"/>
                  <w:rPr/>
                </w:pPr>
                <w:r w:rsidDel="00000000" w:rsidR="00000000" w:rsidRPr="00000000">
                  <w:rPr>
                    <w:rtl w:val="0"/>
                  </w:rPr>
                  <w:t xml:space="preserve">Festival $24,257.37</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Also juggling life chaos</w:t>
                </w:r>
              </w:p>
              <w:p w:rsidR="00000000" w:rsidDel="00000000" w:rsidP="00000000" w:rsidRDefault="00000000" w:rsidRPr="00000000" w14:paraId="00000063">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By Jan will have a 2025 budget looking at base amount should be and what we’re spending it on festival amount drifting up so may need to re-adjust ties in nicely with quarterly payments and all the inclusions once have all the numbers particularly a slightly more expensive hall </w:t>
                </w:r>
              </w:p>
              <w:p w:rsidR="00000000" w:rsidDel="00000000" w:rsidP="00000000" w:rsidRDefault="00000000" w:rsidRPr="00000000" w14:paraId="0000006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Hoping to start advertising replacement in the new year for July but lots of time for lots and lots of handover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Like everyone else attack of life - moved house, went to NZ </w:t>
                </w:r>
              </w:p>
              <w:p w:rsidR="00000000" w:rsidDel="00000000" w:rsidP="00000000" w:rsidRDefault="00000000" w:rsidRPr="00000000" w14:paraId="0000006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Announced step down - planning for Yule next year</w:t>
                </w:r>
              </w:p>
              <w:p w:rsidR="00000000" w:rsidDel="00000000" w:rsidP="00000000" w:rsidRDefault="00000000" w:rsidRPr="00000000" w14:paraId="0000006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(has business later)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REOP Acquisition largely finished, just a few small things left to purchase / arrive. There were some last minute changes to exact items or number of items due to seeing everything in real life etc but we have stayed within budget</w:t>
                </w:r>
              </w:p>
              <w:p w:rsidR="00000000" w:rsidDel="00000000" w:rsidP="00000000" w:rsidRDefault="00000000" w:rsidRPr="00000000" w14:paraId="0000006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LOT of admin to go - compilation of receipts hopefully finished soon. Labelling, as well as another stocktake, to occur in January.</w:t>
                </w:r>
              </w:p>
              <w:p w:rsidR="00000000" w:rsidDel="00000000" w:rsidP="00000000" w:rsidRDefault="00000000" w:rsidRPr="00000000" w14:paraId="0000007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lot of the new gear was used at Yule successfully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New Rowany Champion Archer - </w:t>
                </w:r>
                <w:r w:rsidDel="00000000" w:rsidR="00000000" w:rsidRPr="00000000">
                  <w:rPr>
                    <w:sz w:val="18"/>
                    <w:szCs w:val="18"/>
                    <w:rtl w:val="0"/>
                  </w:rPr>
                  <w:t xml:space="preserve">Alice Le Lacer</w:t>
                </w:r>
                <w:r w:rsidDel="00000000" w:rsidR="00000000" w:rsidRPr="00000000">
                  <w:rPr>
                    <w:rtl w:val="0"/>
                  </w:rPr>
                  <w:t xml:space="preserve"> announced at Yule</w:t>
                </w:r>
              </w:p>
              <w:p w:rsidR="00000000" w:rsidDel="00000000" w:rsidP="00000000" w:rsidRDefault="00000000" w:rsidRPr="00000000" w14:paraId="0000007D">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principle agreement from Petersham PS to use site for next year but paperwork wont be ready for first week of Feb but one practice less than this year in April due to clash with Festival</w:t>
                </w:r>
              </w:p>
              <w:p w:rsidR="00000000" w:rsidDel="00000000" w:rsidP="00000000" w:rsidRDefault="00000000" w:rsidRPr="00000000" w14:paraId="0000007E">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William has quote for new archery targets $360 per target (no delivery price likely free delivery would like to put in $300 delivery fee) also wants 20 new 80cm target faces about $5 a target face, 36 new Baronial arrows $6 plus $60 shipping fee 3 bowstrings $20 per bow plus small markup total $2k but likely $1.5k</w:t>
                </w:r>
              </w:p>
              <w:p w:rsidR="00000000" w:rsidDel="00000000" w:rsidP="00000000" w:rsidRDefault="00000000" w:rsidRPr="00000000" w14:paraId="0000007F">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Used at festival and Rowany target practice</w:t>
                </w:r>
              </w:p>
              <w:p w:rsidR="00000000" w:rsidDel="00000000" w:rsidP="00000000" w:rsidRDefault="00000000" w:rsidRPr="00000000" w14:paraId="00000080">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Ameline: this best for FAT - could vote on pending seneschal reeve bnb approval of paperwork</w:t>
                </w:r>
              </w:p>
              <w:p w:rsidR="00000000" w:rsidDel="00000000" w:rsidP="00000000" w:rsidRDefault="00000000" w:rsidRPr="00000000" w14:paraId="00000081">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iJ 50%/50%? </w:t>
                </w:r>
              </w:p>
              <w:p w:rsidR="00000000" w:rsidDel="00000000" w:rsidP="00000000" w:rsidRDefault="00000000" w:rsidRPr="00000000" w14:paraId="00000082">
                <w:pPr>
                  <w:keepNext w:val="0"/>
                  <w:keepLines w:val="0"/>
                  <w:widowControl w:val="0"/>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Ameline that’s normally for things exclusively for a single group, since this is used so heavily for Festival if only for barony we could get away with less </w:t>
                </w:r>
              </w:p>
              <w:p w:rsidR="00000000" w:rsidDel="00000000" w:rsidP="00000000" w:rsidRDefault="00000000" w:rsidRPr="00000000" w14:paraId="00000083">
                <w:pPr>
                  <w:keepNext w:val="0"/>
                  <w:keepLines w:val="0"/>
                  <w:widowControl w:val="0"/>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Rosalind: point out without Rowany butts no target archery at festival</w:t>
                </w:r>
              </w:p>
              <w:p w:rsidR="00000000" w:rsidDel="00000000" w:rsidP="00000000" w:rsidRDefault="00000000" w:rsidRPr="00000000" w14:paraId="00000084">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Would like to run beginners archery event at goulbournvale national trust home would like to increase cost from $5 to $10 ran last year a lot of insurance but also a fair bit of fundraiser $200 income $200 insurance for 20 people hasn’t completed paper work - just wants an in principle yes no </w:t>
                </w:r>
              </w:p>
              <w:p w:rsidR="00000000" w:rsidDel="00000000" w:rsidP="00000000" w:rsidRDefault="00000000" w:rsidRPr="00000000" w14:paraId="00000085">
                <w:pPr>
                  <w:keepNext w:val="0"/>
                  <w:keepLines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No issues</w:t>
                </w:r>
              </w:p>
              <w:p w:rsidR="00000000" w:rsidDel="00000000" w:rsidP="00000000" w:rsidRDefault="00000000" w:rsidRPr="00000000" w14:paraId="00000086">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Good event will post photos killed a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Norbert FAT funding and event proposal to come</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b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Fabia - Small allergic reaction due to contaminated washing up water at Yule self managed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Fabia to send proper email about this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b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few authorisations </w:t>
                </w:r>
              </w:p>
              <w:p w:rsidR="00000000" w:rsidDel="00000000" w:rsidP="00000000" w:rsidRDefault="00000000" w:rsidRPr="00000000" w14:paraId="00000093">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But issue with authorisation email address one was not redirected so a few have had to be redone. Error has been fixed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Yule was on weekend first court heralding a few people approached for consults which’ll be done in the new year so hopefully will have large list of submissions soon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b w:val="1"/>
                    <w:rtl w:val="0"/>
                  </w:rPr>
                  <w:t xml:space="preserve">Stowe on the Wowld (Elvira)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numPr>
                    <w:ilvl w:val="0"/>
                    <w:numId w:val="14"/>
                  </w:numPr>
                  <w:spacing w:line="240" w:lineRule="auto"/>
                  <w:ind w:left="720" w:hanging="360"/>
                  <w:rPr>
                    <w:u w:val="none"/>
                  </w:rPr>
                </w:pPr>
                <w:r w:rsidDel="00000000" w:rsidR="00000000" w:rsidRPr="00000000">
                  <w:rPr>
                    <w:rtl w:val="0"/>
                  </w:rPr>
                  <w:t xml:space="preserve">new seneschal announced Emma of Stowe Regnum to be updated shortly before end of the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4"/>
                  </w:numPr>
                  <w:spacing w:line="240" w:lineRule="auto"/>
                  <w:ind w:left="720" w:hanging="360"/>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AD">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E">
      <w:pPr>
        <w:rPr>
          <w:i w:val="1"/>
        </w:rPr>
      </w:pPr>
      <w:r w:rsidDel="00000000" w:rsidR="00000000" w:rsidRPr="00000000">
        <w:rPr>
          <w:i w:val="1"/>
          <w:rtl w:val="0"/>
        </w:rPr>
        <w:t xml:space="preserve">(copy/delete motion sections as required)</w:t>
      </w:r>
    </w:p>
    <w:p w:rsidR="00000000" w:rsidDel="00000000" w:rsidP="00000000" w:rsidRDefault="00000000" w:rsidRPr="00000000" w14:paraId="000000AF">
      <w:pPr>
        <w:rPr/>
      </w:pPr>
      <w:r w:rsidDel="00000000" w:rsidR="00000000" w:rsidRPr="00000000">
        <w:rPr>
          <w:rtl w:val="0"/>
        </w:rPr>
      </w:r>
    </w:p>
    <w:sdt>
      <w:sdtPr>
        <w:lock w:val="contentLocked"/>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t xml:space="preserve">Truck </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pPr>
                <w:r w:rsidDel="00000000" w:rsidR="00000000" w:rsidRPr="00000000">
                  <w:rPr>
                    <w:rtl w:val="0"/>
                  </w:rPr>
                  <w:t xml:space="preserve">Ibn Jelal and Juliana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t xml:space="preserve">There’s a lot of stuff we need to get down to festival from Cage possibility of doing a 3.5t truck normal license $350 about the same for GoGet van advantage of van at storage unit believe Stigh and Tina did it a few years ago particularly for people who have difficulty getting their gear down  </w:t>
                </w:r>
              </w:p>
              <w:p w:rsidR="00000000" w:rsidDel="00000000" w:rsidP="00000000" w:rsidRDefault="00000000" w:rsidRPr="00000000" w14:paraId="000000BA">
                <w:pPr>
                  <w:numPr>
                    <w:ilvl w:val="0"/>
                    <w:numId w:val="1"/>
                  </w:numPr>
                  <w:spacing w:line="240" w:lineRule="auto"/>
                  <w:ind w:left="720" w:hanging="360"/>
                  <w:rPr>
                    <w:u w:val="none"/>
                  </w:rPr>
                </w:pPr>
                <w:r w:rsidDel="00000000" w:rsidR="00000000" w:rsidRPr="00000000">
                  <w:rPr>
                    <w:rtl w:val="0"/>
                  </w:rPr>
                  <w:t xml:space="preserve">$700 total for Festival including kms </w:t>
                </w:r>
              </w:p>
              <w:p w:rsidR="00000000" w:rsidDel="00000000" w:rsidP="00000000" w:rsidRDefault="00000000" w:rsidRPr="00000000" w14:paraId="000000BB">
                <w:pPr>
                  <w:numPr>
                    <w:ilvl w:val="0"/>
                    <w:numId w:val="1"/>
                  </w:numPr>
                  <w:spacing w:line="240" w:lineRule="auto"/>
                  <w:ind w:left="720" w:hanging="360"/>
                  <w:rPr>
                    <w:u w:val="none"/>
                  </w:rPr>
                </w:pPr>
                <w:r w:rsidDel="00000000" w:rsidR="00000000" w:rsidRPr="00000000">
                  <w:rPr>
                    <w:rtl w:val="0"/>
                  </w:rPr>
                  <w:t xml:space="preserve">Ameline: historically a trailer but truck was not contributed by persons - should it be contributed to by the event?</w:t>
                </w:r>
              </w:p>
              <w:p w:rsidR="00000000" w:rsidDel="00000000" w:rsidP="00000000" w:rsidRDefault="00000000" w:rsidRPr="00000000" w14:paraId="000000BC">
                <w:pPr>
                  <w:numPr>
                    <w:ilvl w:val="0"/>
                    <w:numId w:val="1"/>
                  </w:numPr>
                  <w:spacing w:line="240" w:lineRule="auto"/>
                  <w:ind w:left="720" w:hanging="360"/>
                  <w:rPr>
                    <w:u w:val="none"/>
                  </w:rPr>
                </w:pPr>
                <w:r w:rsidDel="00000000" w:rsidR="00000000" w:rsidRPr="00000000">
                  <w:rPr>
                    <w:rtl w:val="0"/>
                  </w:rPr>
                  <w:t xml:space="preserve">Amy: mostly baronial gear</w:t>
                </w:r>
              </w:p>
              <w:p w:rsidR="00000000" w:rsidDel="00000000" w:rsidP="00000000" w:rsidRDefault="00000000" w:rsidRPr="00000000" w14:paraId="000000BD">
                <w:pPr>
                  <w:numPr>
                    <w:ilvl w:val="0"/>
                    <w:numId w:val="1"/>
                  </w:numPr>
                  <w:spacing w:line="240" w:lineRule="auto"/>
                  <w:ind w:left="720" w:hanging="360"/>
                  <w:rPr>
                    <w:u w:val="none"/>
                  </w:rPr>
                </w:pPr>
                <w:r w:rsidDel="00000000" w:rsidR="00000000" w:rsidRPr="00000000">
                  <w:rPr>
                    <w:rtl w:val="0"/>
                  </w:rPr>
                  <w:t xml:space="preserve">Central pickup probably works best</w:t>
                </w:r>
              </w:p>
              <w:p w:rsidR="00000000" w:rsidDel="00000000" w:rsidP="00000000" w:rsidRDefault="00000000" w:rsidRPr="00000000" w14:paraId="000000BE">
                <w:pPr>
                  <w:numPr>
                    <w:ilvl w:val="1"/>
                    <w:numId w:val="1"/>
                  </w:numPr>
                  <w:spacing w:line="240" w:lineRule="auto"/>
                  <w:ind w:left="1440" w:hanging="360"/>
                  <w:rPr>
                    <w:u w:val="none"/>
                  </w:rPr>
                </w:pPr>
                <w:r w:rsidDel="00000000" w:rsidR="00000000" w:rsidRPr="00000000">
                  <w:rPr>
                    <w:rtl w:val="0"/>
                  </w:rPr>
                  <w:t xml:space="preserve">Likely the storage unit for any personal gear</w:t>
                </w:r>
              </w:p>
              <w:p w:rsidR="00000000" w:rsidDel="00000000" w:rsidP="00000000" w:rsidRDefault="00000000" w:rsidRPr="00000000" w14:paraId="000000BF">
                <w:pPr>
                  <w:spacing w:line="240" w:lineRule="auto"/>
                  <w:rPr/>
                </w:pPr>
                <w:r w:rsidDel="00000000" w:rsidR="00000000" w:rsidRPr="00000000">
                  <w:rPr>
                    <w:rtl w:val="0"/>
                  </w:rPr>
                  <w:t xml:space="preserve">Need to be aware of loading storage unit with personal gear that there’s enough people to load truck when it gets to the day</w:t>
                </w:r>
              </w:p>
              <w:p w:rsidR="00000000" w:rsidDel="00000000" w:rsidP="00000000" w:rsidRDefault="00000000" w:rsidRPr="00000000" w14:paraId="000000C0">
                <w:pPr>
                  <w:numPr>
                    <w:ilvl w:val="0"/>
                    <w:numId w:val="2"/>
                  </w:numPr>
                  <w:spacing w:line="240" w:lineRule="auto"/>
                  <w:ind w:left="720" w:hanging="360"/>
                  <w:rPr>
                    <w:u w:val="none"/>
                  </w:rPr>
                </w:pPr>
                <w:r w:rsidDel="00000000" w:rsidR="00000000" w:rsidRPr="00000000">
                  <w:rPr>
                    <w:rtl w:val="0"/>
                  </w:rPr>
                  <w:t xml:space="preserve">And what to do if you can’t get to the storage unit</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pPr>
                <w:r w:rsidDel="00000000" w:rsidR="00000000" w:rsidRPr="00000000">
                  <w:rPr>
                    <w:rtl w:val="0"/>
                  </w:rPr>
                  <w:t xml:space="preserve">n/a</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t xml:space="preserve">Motion to be discussed at Jan senate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t xml:space="preserve">B&amp;B to email details: days, cost, some logistics</w:t>
                </w:r>
              </w:p>
            </w:tc>
          </w:tr>
        </w:tbl>
      </w:sdtContent>
    </w:sdt>
    <w:p w:rsidR="00000000" w:rsidDel="00000000" w:rsidP="00000000" w:rsidRDefault="00000000" w:rsidRPr="00000000" w14:paraId="000000D3">
      <w:pPr>
        <w:rPr/>
      </w:pPr>
      <w:r w:rsidDel="00000000" w:rsidR="00000000" w:rsidRPr="00000000">
        <w:rPr>
          <w:rtl w:val="0"/>
        </w:rPr>
      </w:r>
    </w:p>
    <w:sdt>
      <w:sdtPr>
        <w:lock w:val="contentLocked"/>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t xml:space="preserve">Motion passed/declined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r>
              </w:p>
            </w:tc>
          </w:tr>
        </w:tbl>
      </w:sdtContent>
    </w:sdt>
    <w:p w:rsidR="00000000" w:rsidDel="00000000" w:rsidP="00000000" w:rsidRDefault="00000000" w:rsidRPr="00000000" w14:paraId="000000F0">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0F1">
      <w:pPr>
        <w:rPr/>
      </w:pP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copy</w:t>
      </w:r>
      <w:r w:rsidDel="00000000" w:rsidR="00000000" w:rsidRPr="00000000">
        <w:rPr>
          <w:rFonts w:ascii="Calibri" w:cs="Calibri" w:eastAsia="Calibri" w:hAnsi="Calibri"/>
          <w:i w:val="1"/>
          <w:color w:val="000000"/>
          <w:sz w:val="24"/>
          <w:szCs w:val="24"/>
          <w:rtl w:val="0"/>
        </w:rPr>
        <w:t xml:space="preserve">/delete motion sections as required)</w:t>
      </w:r>
      <w:r w:rsidDel="00000000" w:rsidR="00000000" w:rsidRPr="00000000">
        <w:rPr>
          <w:rFonts w:ascii="Calibri" w:cs="Calibri" w:eastAsia="Calibri" w:hAnsi="Calibri"/>
          <w:b w:val="1"/>
          <w:sz w:val="24"/>
          <w:szCs w:val="24"/>
          <w:rtl w:val="0"/>
        </w:rPr>
        <w:br w:type="textWrapping"/>
      </w:r>
      <w:r w:rsidDel="00000000" w:rsidR="00000000" w:rsidRPr="00000000">
        <w:rPr>
          <w:rtl w:val="0"/>
        </w:rPr>
      </w:r>
    </w:p>
    <w:sdt>
      <w:sdtPr>
        <w:lock w:val="contentLocked"/>
        <w:tag w:val="goog_rdk_5"/>
      </w:sdtPr>
      <w:sdtContent>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t xml:space="preserve">Norbert’s FAT funding request archery</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pPr>
                <w:r w:rsidDel="00000000" w:rsidR="00000000" w:rsidRPr="00000000">
                  <w:rPr>
                    <w:rtl w:val="0"/>
                  </w:rPr>
                  <w:t xml:space="preserve">Norbert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Rosalind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pPr>
                <w:r w:rsidDel="00000000" w:rsidR="00000000" w:rsidRPr="00000000">
                  <w:rPr>
                    <w:rtl w:val="0"/>
                  </w:rPr>
                  <w:t xml:space="preserve">$2k for archery equipment pending submission of paper work </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7">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rPr/>
                </w:pPr>
                <w:r w:rsidDel="00000000" w:rsidR="00000000" w:rsidRPr="00000000">
                  <w:rPr>
                    <w:rtl w:val="0"/>
                  </w:rPr>
                  <w:t xml:space="preserve">Norbert to fill in FAT funding paper work send seneschal reeve bnb</w:t>
                </w:r>
              </w:p>
            </w:tc>
          </w:tr>
        </w:tbl>
      </w:sdtContent>
    </w:sdt>
    <w:p w:rsidR="00000000" w:rsidDel="00000000" w:rsidP="00000000" w:rsidRDefault="00000000" w:rsidRPr="00000000" w14:paraId="000001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 Crown kit no one is taking commissions for pottery at the moment Elena can also reach out but also bed bath and table has some melamine ones potentially a back up - Medb to buy two plates two bowls two cups </w:t>
      </w:r>
      <w:hyperlink r:id="rId8">
        <w:r w:rsidDel="00000000" w:rsidR="00000000" w:rsidRPr="00000000">
          <w:rPr>
            <w:rFonts w:ascii="Calibri" w:cs="Calibri" w:eastAsia="Calibri" w:hAnsi="Calibri"/>
            <w:color w:val="1155cc"/>
            <w:sz w:val="24"/>
            <w:szCs w:val="24"/>
            <w:u w:val="single"/>
            <w:rtl w:val="0"/>
          </w:rPr>
          <w:t xml:space="preserve">https://www.bedbathntable.com.au/table/tabletop/plates-bowls</w:t>
        </w:r>
      </w:hyperlink>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Calibri" w:cs="Calibri" w:eastAsia="Calibri" w:hAnsi="Calibri"/>
      <w:b w:val="1"/>
      <w:sz w:val="28"/>
      <w:szCs w:val="28"/>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rPr>
      <w:rFonts w:ascii="Calibri" w:cs="Calibri" w:eastAsia="Calibri" w:hAnsi="Calibri"/>
      <w:b w:val="1"/>
      <w:sz w:val="28"/>
      <w:szCs w:val="28"/>
    </w:rPr>
  </w:style>
  <w:style w:type="paragraph" w:styleId="Normal" w:default="1">
    <w:name w:val="Normal"/>
    <w:qFormat w:val="1"/>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bedbathntable.com.au/table/tabletop/plates-bow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zFRnzmOksr+5nhsKLLSnMAdnA==">CgMxLjAaHwoBMBIaChgICVIUChJ0YWJsZS5kajZ4cTBtY2tzZGwaHwoBMRIaChgICVIUChJ0YWJsZS5rZDZmNHFtNGdiZ2MaHwoBMhIaChgICVIUChJ0YWJsZS5rcWVtazhzZHA3MnUaHwoBMxIaChgICVIUChJ0YWJsZS5iMGg4MHU1d2lwc2QaHwoBNBIaChgICVIUChJ0YWJsZS5hM2xoYjE0M2Q4YWMaHwoBNRIaChgICVIUChJ0YWJsZS42andydzFoeG1icXAyDmguemd6dXhiY3Z2YWJ1Mg5oLm4zYnNhcjN6cWtwNjIOaC5vbHhzNDZlc3R1ano4AHIhMXN1VDhpQXAwWHh0bjZRS1VucHdVNW15OTZPTzJoRW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